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E0C" w:rsidRPr="00C0338D" w:rsidRDefault="00DA0E0C" w:rsidP="00DA0E0C">
      <w:pPr>
        <w:spacing w:before="240" w:after="120" w:line="240" w:lineRule="auto"/>
        <w:rPr>
          <w:color w:val="FF0000"/>
        </w:rPr>
      </w:pPr>
      <w:bookmarkStart w:id="0" w:name="_Toc147489089"/>
      <w:r w:rsidRPr="00837161">
        <w:rPr>
          <w:b/>
          <w:bCs/>
        </w:rPr>
        <w:t>Table 5.</w:t>
      </w:r>
      <w:r w:rsidRPr="00837161">
        <w:rPr>
          <w:b/>
          <w:bCs/>
        </w:rPr>
        <w:fldChar w:fldCharType="begin"/>
      </w:r>
      <w:r w:rsidRPr="00837161">
        <w:rPr>
          <w:b/>
          <w:bCs/>
        </w:rPr>
        <w:instrText>SEQ Table_5. \* ARABIC</w:instrText>
      </w:r>
      <w:r w:rsidRPr="00837161">
        <w:rPr>
          <w:b/>
          <w:bCs/>
        </w:rPr>
        <w:fldChar w:fldCharType="separate"/>
      </w:r>
      <w:r>
        <w:rPr>
          <w:b/>
          <w:bCs/>
          <w:noProof/>
        </w:rPr>
        <w:t>12</w:t>
      </w:r>
      <w:r w:rsidRPr="00837161">
        <w:rPr>
          <w:b/>
          <w:bCs/>
        </w:rPr>
        <w:fldChar w:fldCharType="end"/>
      </w:r>
      <w:r w:rsidRPr="00837161">
        <w:rPr>
          <w:b/>
          <w:bCs/>
        </w:rPr>
        <w:t>.</w:t>
      </w:r>
      <w:bookmarkStart w:id="1" w:name="_heading=h.2yutaiw" w:colFirst="0" w:colLast="0"/>
      <w:bookmarkEnd w:id="1"/>
      <w:r w:rsidRPr="00C0338D">
        <w:t xml:space="preserve"> Impacts of errors in data on invasive alien species presence, distribution, socio-economic and political perceptions and potential responses to improve the efficacy of management interventions on biological invasions.</w:t>
      </w:r>
      <w:bookmarkEnd w:id="0"/>
    </w:p>
    <w:p w:rsidR="00DA0E0C" w:rsidRPr="00C0338D" w:rsidRDefault="00DA0E0C" w:rsidP="00DA0E0C">
      <w:pPr>
        <w:spacing w:after="240"/>
      </w:pPr>
      <w:r w:rsidRPr="00C0338D">
        <w:t xml:space="preserve">Adapted from </w:t>
      </w:r>
      <w:proofErr w:type="spellStart"/>
      <w:r w:rsidRPr="00C0338D">
        <w:t>McGeoch</w:t>
      </w:r>
      <w:proofErr w:type="spellEnd"/>
      <w:r w:rsidRPr="00C0338D">
        <w:t xml:space="preserve"> </w:t>
      </w:r>
      <w:r w:rsidRPr="00700ED4">
        <w:rPr>
          <w:i/>
        </w:rPr>
        <w:t>et al</w:t>
      </w:r>
      <w:r w:rsidRPr="00C0338D">
        <w:t xml:space="preserve">. </w:t>
      </w:r>
      <w:r w:rsidRPr="00837161">
        <w:fldChar w:fldCharType="begin"/>
      </w:r>
      <w:r>
        <w:instrText xml:space="preserve"> ADDIN ZOTERO_ITEM CSL_CITATION {"citationID":"wk3PQmI0","properties":{"formattedCitation":"(2012)","plainCitation":"(2012)","noteIndex":0},"citationItems":[{"id":29287,"uris":["http://zotero.org/groups/2352922/items/I5I5N6GD"],"itemData":{"id":29287,"type":"article-journal","abstract":"Lists of invasive alien species (IAS) are essential for preventing, controlling, and reporting on the state of biological invasions. However, these lists suffer from a range of errors, with serious consequences for their use in science, policy, and management. Here we (1) collated and classified errors in IAS listing using a taxonomy of uncertainty; and (2) estimated the size of these errors using data from a completed listing exercise, with the purpose of better understanding, communicating, and dealing with them. Ten errors were identified. Most result from a lack of knowledge or measurement error (epistemic uncertainty), although two were a result of context dependence and vagueness (linguistic uncertainty). Estimates of the size of the effects of these errors were substantial in a number of cases and unknown in others. Most errors, and those with the largest estimated effect, result in underestimates of IAS numbers. However, there are a number of errors where the size and direction of the effect remains poorly understood.","container-title":"Ecological Applications","DOI":"10.1890/11-1252.1","ISSN":"1051-0761","issue":"3","journalAbbreviation":"Ecological Applications","language":"en","note":"PMID: 22645824","page":"959-971","source":"DOI.org (Crossref)","title":"Uncertainty in invasive alien species listing","URL":"http://doi.wiley.com/10.1890/11-1252.1","volume":"22","author":[{"family":"McGeoch","given":"Melodie A."},{"family":"Spear","given":"Dian"},{"family":"Kleynhans","given":"Elizabeth J."},{"family":"Marais","given":"Elrike"}],"accessed":{"date-parts":[["2019",11,9]]},"issued":{"date-parts":[["2012",4]]}},"label":"page","suppress-author":true}],"schema":"https://github.com/citation-style-language/schema/raw/master/csl-citation.json"} </w:instrText>
      </w:r>
      <w:r w:rsidRPr="00837161">
        <w:fldChar w:fldCharType="separate"/>
      </w:r>
      <w:r w:rsidRPr="00271B78">
        <w:t>(2012)</w:t>
      </w:r>
      <w:r w:rsidRPr="00837161">
        <w:fldChar w:fldCharType="end"/>
      </w:r>
      <w:r w:rsidRPr="00837161">
        <w:rPr>
          <w:rFonts w:eastAsia="游明朝"/>
          <w:lang w:eastAsia="ja-JP"/>
        </w:rPr>
        <w:t>.</w:t>
      </w:r>
      <w:r w:rsidRPr="00C0338D">
        <w:t xml:space="preserve"> See </w:t>
      </w:r>
      <w:r w:rsidRPr="002F2F42">
        <w:rPr>
          <w:b/>
        </w:rPr>
        <w:t>sections 5.4</w:t>
      </w:r>
      <w:r w:rsidRPr="00C0338D">
        <w:t xml:space="preserve"> and </w:t>
      </w:r>
      <w:r w:rsidRPr="002F2F42">
        <w:rPr>
          <w:b/>
        </w:rPr>
        <w:t>5.5</w:t>
      </w:r>
      <w:r w:rsidRPr="00C0338D">
        <w:t xml:space="preserve"> for details on management methods.</w:t>
      </w:r>
    </w:p>
    <w:tbl>
      <w:tblPr>
        <w:tblW w:w="9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456"/>
        <w:gridCol w:w="2769"/>
        <w:gridCol w:w="3210"/>
        <w:gridCol w:w="2041"/>
      </w:tblGrid>
      <w:tr w:rsidR="00DA0E0C" w:rsidTr="004F6786">
        <w:trPr>
          <w:tblHeader/>
        </w:trPr>
        <w:tc>
          <w:tcPr>
            <w:tcW w:w="1456" w:type="dxa"/>
            <w:shd w:val="clear" w:color="auto" w:fill="FFFFFF" w:themeFill="background1"/>
          </w:tcPr>
          <w:p w:rsidR="00DA0E0C" w:rsidRPr="00C0338D" w:rsidRDefault="00DA0E0C" w:rsidP="004F6786">
            <w:pPr>
              <w:rPr>
                <w:b/>
              </w:rPr>
            </w:pPr>
            <w:r w:rsidRPr="00C0338D">
              <w:rPr>
                <w:b/>
              </w:rPr>
              <w:t>Type of error</w:t>
            </w:r>
          </w:p>
        </w:tc>
        <w:tc>
          <w:tcPr>
            <w:tcW w:w="2769" w:type="dxa"/>
            <w:shd w:val="clear" w:color="auto" w:fill="FFFFFF" w:themeFill="background1"/>
          </w:tcPr>
          <w:p w:rsidR="00DA0E0C" w:rsidRPr="00C0338D" w:rsidRDefault="00DA0E0C" w:rsidP="004F6786">
            <w:pPr>
              <w:rPr>
                <w:b/>
              </w:rPr>
            </w:pPr>
            <w:r w:rsidRPr="00C0338D">
              <w:rPr>
                <w:b/>
              </w:rPr>
              <w:t>Explanation</w:t>
            </w:r>
          </w:p>
        </w:tc>
        <w:tc>
          <w:tcPr>
            <w:tcW w:w="3210" w:type="dxa"/>
            <w:shd w:val="clear" w:color="auto" w:fill="FFFFFF" w:themeFill="background1"/>
          </w:tcPr>
          <w:p w:rsidR="00DA0E0C" w:rsidRPr="00C0338D" w:rsidRDefault="00DA0E0C" w:rsidP="004F6786">
            <w:pPr>
              <w:rPr>
                <w:b/>
              </w:rPr>
            </w:pPr>
            <w:r w:rsidRPr="00C0338D">
              <w:rPr>
                <w:b/>
              </w:rPr>
              <w:t>Effect on management or policy development</w:t>
            </w:r>
          </w:p>
        </w:tc>
        <w:tc>
          <w:tcPr>
            <w:tcW w:w="2041" w:type="dxa"/>
            <w:shd w:val="clear" w:color="auto" w:fill="FFFFFF" w:themeFill="background1"/>
          </w:tcPr>
          <w:p w:rsidR="00DA0E0C" w:rsidRPr="00C0338D" w:rsidRDefault="00DA0E0C" w:rsidP="004F6786">
            <w:pPr>
              <w:rPr>
                <w:b/>
              </w:rPr>
            </w:pPr>
            <w:r w:rsidRPr="00C0338D">
              <w:rPr>
                <w:b/>
              </w:rPr>
              <w:t xml:space="preserve">Management responses (instruments tools and approaches) </w:t>
            </w:r>
          </w:p>
        </w:tc>
      </w:tr>
      <w:tr w:rsidR="00DA0E0C" w:rsidTr="004F6786">
        <w:tc>
          <w:tcPr>
            <w:tcW w:w="1456" w:type="dxa"/>
            <w:shd w:val="clear" w:color="auto" w:fill="FFFFFF" w:themeFill="background1"/>
          </w:tcPr>
          <w:p w:rsidR="00DA0E0C" w:rsidRPr="00C0338D" w:rsidRDefault="00DA0E0C" w:rsidP="004F6786">
            <w:r w:rsidRPr="00C0338D">
              <w:t>Data collection</w:t>
            </w:r>
          </w:p>
        </w:tc>
        <w:tc>
          <w:tcPr>
            <w:tcW w:w="2769" w:type="dxa"/>
            <w:shd w:val="clear" w:color="auto" w:fill="FFFFFF" w:themeFill="background1"/>
          </w:tcPr>
          <w:p w:rsidR="00DA0E0C" w:rsidRPr="00C0338D" w:rsidRDefault="00DA0E0C" w:rsidP="004F6786">
            <w:r w:rsidRPr="00C0338D">
              <w:t>There can be a lack of survey information on the presence, extent, and population dynamics outside the native range of a species.</w:t>
            </w:r>
          </w:p>
          <w:p w:rsidR="00DA0E0C" w:rsidRPr="00C0338D" w:rsidRDefault="00DA0E0C" w:rsidP="004F6786"/>
          <w:p w:rsidR="00DA0E0C" w:rsidRPr="00FE2C28" w:rsidRDefault="00DA0E0C" w:rsidP="004F6786">
            <w:pPr>
              <w:rPr>
                <w:rFonts w:eastAsia="游明朝" w:hint="eastAsia"/>
                <w:lang w:eastAsia="ja-JP"/>
              </w:rPr>
            </w:pPr>
            <w:r w:rsidRPr="00C0338D">
              <w:t>Resolution of data and scaling in the introduced range of the invasive alien species: he low-resolution of alien species distribution maps or geographic regions can lead to overestimation of species distribution</w:t>
            </w:r>
            <w:r w:rsidR="00FE2C28">
              <w:rPr>
                <w:rFonts w:eastAsia="游明朝"/>
                <w:lang w:eastAsia="ja-JP"/>
              </w:rPr>
              <w:t>.</w:t>
            </w:r>
          </w:p>
        </w:tc>
        <w:tc>
          <w:tcPr>
            <w:tcW w:w="3210" w:type="dxa"/>
            <w:shd w:val="clear" w:color="auto" w:fill="FFFFFF" w:themeFill="background1"/>
          </w:tcPr>
          <w:p w:rsidR="00DA0E0C" w:rsidRPr="00C0338D" w:rsidRDefault="00DA0E0C" w:rsidP="004F6786">
            <w:r w:rsidRPr="00C0338D">
              <w:t xml:space="preserve">a) Data on the establishment and spread is required to designate alien species as invasive. Insufficient survey information results in failure to recognize invasive alien species. </w:t>
            </w:r>
          </w:p>
          <w:p w:rsidR="00DA0E0C" w:rsidRPr="00C0338D" w:rsidRDefault="00DA0E0C" w:rsidP="004F6786"/>
          <w:p w:rsidR="00DA0E0C" w:rsidRPr="00C0338D" w:rsidRDefault="00DA0E0C" w:rsidP="004F6786">
            <w:r w:rsidRPr="00C0338D">
              <w:t>b) Invasive alien species assemblages are dynamic</w:t>
            </w:r>
            <w:r>
              <w:t>,</w:t>
            </w:r>
            <w:r w:rsidRPr="00C0338D">
              <w:t xml:space="preserve"> and the lack of regular surveys can lead to inaccurate species lists and data on distribution and population sizes.</w:t>
            </w:r>
          </w:p>
          <w:p w:rsidR="00DA0E0C" w:rsidRPr="00C0338D" w:rsidRDefault="00DA0E0C" w:rsidP="004F6786"/>
          <w:p w:rsidR="00DA0E0C" w:rsidRPr="00C0338D" w:rsidRDefault="00DA0E0C" w:rsidP="004F6786">
            <w:r w:rsidRPr="00C0338D">
              <w:t>c) Populations may be incorrectly delimited (prevalence known) leading to incorrect decision-making and management errors.</w:t>
            </w:r>
          </w:p>
          <w:p w:rsidR="00DA0E0C" w:rsidRPr="00C0338D" w:rsidRDefault="00DA0E0C" w:rsidP="004F6786"/>
          <w:p w:rsidR="00DA0E0C" w:rsidRPr="00C0338D" w:rsidRDefault="00DA0E0C" w:rsidP="004F6786">
            <w:r w:rsidRPr="00C0338D">
              <w:t xml:space="preserve">d) Prematurely declaring eradication campaigns successful when not enough monitoring has been done to ensure confidence in eradication as cryptic populations remain un-detected. </w:t>
            </w:r>
          </w:p>
          <w:p w:rsidR="00DA0E0C" w:rsidRPr="00C0338D" w:rsidRDefault="00DA0E0C" w:rsidP="004F6786"/>
          <w:p w:rsidR="00DA0E0C" w:rsidRPr="00C0338D" w:rsidRDefault="00DA0E0C" w:rsidP="004F6786"/>
          <w:p w:rsidR="00DA0E0C" w:rsidRPr="00C0338D" w:rsidRDefault="00DA0E0C" w:rsidP="004F6786"/>
        </w:tc>
        <w:tc>
          <w:tcPr>
            <w:tcW w:w="2041" w:type="dxa"/>
            <w:shd w:val="clear" w:color="auto" w:fill="FFFFFF" w:themeFill="background1"/>
          </w:tcPr>
          <w:p w:rsidR="00DA0E0C" w:rsidRPr="00C0338D" w:rsidRDefault="00DA0E0C" w:rsidP="004F6786">
            <w:r w:rsidRPr="00C0338D">
              <w:t>Increased attention to detail and taking care to record data correctly, and increasing efforts to search for information to ensure correct species identification (including synonyms, name changes, incorrect names)</w:t>
            </w:r>
            <w:r w:rsidR="00FE2C28">
              <w:t>.</w:t>
            </w:r>
            <w:r w:rsidRPr="00C0338D">
              <w:t xml:space="preserve"> </w:t>
            </w:r>
          </w:p>
          <w:p w:rsidR="00DA0E0C" w:rsidRPr="00C0338D" w:rsidRDefault="00DA0E0C" w:rsidP="004F6786"/>
          <w:p w:rsidR="00DA0E0C" w:rsidRPr="00C0338D" w:rsidRDefault="00DA0E0C" w:rsidP="005A46EC">
            <w:r w:rsidRPr="00C0338D">
              <w:t>Increased frequency of data surveys for a better recognition and definition of invasive alien species distribution (Chapter 6, sections 6.6.2.4 to 6.6.2.7)</w:t>
            </w:r>
            <w:r w:rsidR="00FE2C28">
              <w:t>.</w:t>
            </w:r>
          </w:p>
        </w:tc>
      </w:tr>
      <w:tr w:rsidR="00DA0E0C" w:rsidTr="004F6786">
        <w:tc>
          <w:tcPr>
            <w:tcW w:w="1456" w:type="dxa"/>
            <w:shd w:val="clear" w:color="auto" w:fill="FFFFFF" w:themeFill="background1"/>
          </w:tcPr>
          <w:p w:rsidR="00DA0E0C" w:rsidRPr="00C0338D" w:rsidRDefault="00DA0E0C" w:rsidP="004F6786">
            <w:r w:rsidRPr="00C0338D">
              <w:t xml:space="preserve">Data and knowledge </w:t>
            </w:r>
            <w:r w:rsidRPr="00C0338D">
              <w:lastRenderedPageBreak/>
              <w:t>not documented or not readily or widely accessible</w:t>
            </w:r>
          </w:p>
        </w:tc>
        <w:tc>
          <w:tcPr>
            <w:tcW w:w="2769" w:type="dxa"/>
            <w:shd w:val="clear" w:color="auto" w:fill="FFFFFF" w:themeFill="background1"/>
          </w:tcPr>
          <w:p w:rsidR="00DA0E0C" w:rsidRPr="00C0338D" w:rsidRDefault="00DA0E0C" w:rsidP="004F6786">
            <w:r w:rsidRPr="00C0338D">
              <w:lastRenderedPageBreak/>
              <w:t xml:space="preserve">Data are not available in books and peer-reviewed </w:t>
            </w:r>
            <w:r w:rsidRPr="00C0338D">
              <w:lastRenderedPageBreak/>
              <w:t xml:space="preserve">literature, electronic, or online databases. Information may exist (and specialists may recognize invasive alien species), but is not yet documented, or is outdated. </w:t>
            </w:r>
          </w:p>
          <w:p w:rsidR="00DA0E0C" w:rsidRPr="00C0338D" w:rsidRDefault="00DA0E0C" w:rsidP="004F6786"/>
          <w:p w:rsidR="00DA0E0C" w:rsidRPr="00C0338D" w:rsidRDefault="00DA0E0C" w:rsidP="004F6786">
            <w:r w:rsidRPr="00C0338D">
              <w:t xml:space="preserve">Grey literature is not easily accessible and may be in different languages. Some of the new taxa data are published in obscure journals. A wide range of data sources exist, but are not always sufficiently well collated, published or easily accessible. </w:t>
            </w:r>
          </w:p>
        </w:tc>
        <w:tc>
          <w:tcPr>
            <w:tcW w:w="3210" w:type="dxa"/>
            <w:shd w:val="clear" w:color="auto" w:fill="FFFFFF" w:themeFill="background1"/>
          </w:tcPr>
          <w:p w:rsidR="00DA0E0C" w:rsidRPr="00C0338D" w:rsidRDefault="00DA0E0C" w:rsidP="004F6786">
            <w:r w:rsidRPr="00C0338D">
              <w:lastRenderedPageBreak/>
              <w:t xml:space="preserve">This may result, for example, in a time delay between </w:t>
            </w:r>
            <w:r w:rsidRPr="00C0338D">
              <w:lastRenderedPageBreak/>
              <w:t>discovery and publication. This may influence the likelihood of eradication opportunities. Eradicated or extirpated species may also remain on species lists.</w:t>
            </w:r>
          </w:p>
          <w:p w:rsidR="00DA0E0C" w:rsidRPr="00C0338D" w:rsidRDefault="00DA0E0C" w:rsidP="004F6786"/>
          <w:p w:rsidR="00DA0E0C" w:rsidRPr="00C0338D" w:rsidRDefault="00DA0E0C" w:rsidP="004F6786">
            <w:r w:rsidRPr="00C0338D">
              <w:t xml:space="preserve">Inadequate </w:t>
            </w:r>
            <w:r>
              <w:t>native</w:t>
            </w:r>
            <w:r w:rsidRPr="00C0338D">
              <w:t xml:space="preserve"> range information (e.g., cryptogenic species – see </w:t>
            </w:r>
            <w:r>
              <w:rPr>
                <w:b/>
              </w:rPr>
              <w:t>G</w:t>
            </w:r>
            <w:r w:rsidRPr="004F6786">
              <w:rPr>
                <w:b/>
              </w:rPr>
              <w:t>lossary</w:t>
            </w:r>
            <w:r w:rsidRPr="00C0338D">
              <w:t xml:space="preserve">), may result in subjective or incorrect listing of species as being alien or not. </w:t>
            </w:r>
          </w:p>
          <w:p w:rsidR="00DA0E0C" w:rsidRPr="00C0338D" w:rsidRDefault="00DA0E0C" w:rsidP="004F6786"/>
          <w:p w:rsidR="00DA0E0C" w:rsidRPr="00C0338D" w:rsidRDefault="00DA0E0C" w:rsidP="004F6786">
            <w:r w:rsidRPr="00C0338D">
              <w:t>Identifying an alien species incorrectly, a lack of information on how to implement management, and a lack of specific/appropriate management tools.</w:t>
            </w:r>
          </w:p>
        </w:tc>
        <w:tc>
          <w:tcPr>
            <w:tcW w:w="2041" w:type="dxa"/>
            <w:shd w:val="clear" w:color="auto" w:fill="FFFFFF" w:themeFill="background1"/>
          </w:tcPr>
          <w:p w:rsidR="00DA0E0C" w:rsidRPr="00C0338D" w:rsidRDefault="00DA0E0C" w:rsidP="004F6786">
            <w:r w:rsidRPr="00C0338D">
              <w:lastRenderedPageBreak/>
              <w:t xml:space="preserve">Enhance connectedness of </w:t>
            </w:r>
            <w:r w:rsidRPr="00C0338D">
              <w:lastRenderedPageBreak/>
              <w:t>global repositories (</w:t>
            </w:r>
            <w:r w:rsidRPr="00FE2C28">
              <w:rPr>
                <w:b/>
              </w:rPr>
              <w:t>section 5.4</w:t>
            </w:r>
            <w:r w:rsidRPr="00C0338D">
              <w:t>), especially for data and grey literature (</w:t>
            </w:r>
            <w:r w:rsidRPr="00FE2C28">
              <w:rPr>
                <w:b/>
              </w:rPr>
              <w:t>section 5.4</w:t>
            </w:r>
            <w:r w:rsidRPr="00C0338D">
              <w:t xml:space="preserve">). </w:t>
            </w:r>
          </w:p>
          <w:p w:rsidR="00DA0E0C" w:rsidRPr="00C0338D" w:rsidRDefault="00DA0E0C" w:rsidP="004F6786"/>
          <w:p w:rsidR="00DA0E0C" w:rsidRPr="00C0338D" w:rsidRDefault="00DA0E0C" w:rsidP="00CC38D3">
            <w:r>
              <w:t>Use of</w:t>
            </w:r>
            <w:r w:rsidRPr="00837161">
              <w:t xml:space="preserve"> taxonomic expertise </w:t>
            </w:r>
            <w:r w:rsidRPr="00837161">
              <w:fldChar w:fldCharType="begin"/>
            </w:r>
            <w:r>
              <w:instrText xml:space="preserve"> ADDIN ZOTERO_ITEM CSL_CITATION {"citationID":"CV6Pu3EG","properties":{"formattedCitation":"(Py\\uc0\\u353{}ek et al., 2013)","plainCitation":"(Pyšek et al., 2013)","noteIndex":0},"citationItems":[{"id":29207,"uris":["http://zotero.org/groups/2352922/items/YG4LGN6Y"],"itemData":{"id":29207,"type":"article-journal","abstract":"This paper explores how a lack of taxonomic expertise, and by implication a dearth of taxonomic products such as identification tools, has hindered progress in understanding andmanaging biological invasions. It also explores how the taxonomic endeavour could benefit from studies of invasive species. We review the literature on the current situation in taxonomy with a focus on the challenges of identifying alien plant species and explorehowthis has affected the study of biological invasions. Biosecurity strategies, legislation dealing with invasive species, quarantine, weed surveillance and monitoring all depend on accurate and rapid identification of non-native taxa. However, such identification can be challenging because the taxonomic skill base in most countries is diffuse and lacks critical mass. Taxonomic resources are essential for the effective management of invasive plants and incorrect identifications can impede ecological studies. On the other hand, biological invasions have provided important tests of basic theories about species concepts. Better integration of classical alpha taxonomy and modern genetic taxonomic approaches will improve the accuracy of species identification and further refine taxonomic classification at the level of populations and genotypes in the field and laboratory. Modern taxonomy therefore needs to integrate both classical and new concepts and approaches. In particular, differing points of view between the proponents of morphological and molecular approaches should be negotiated because a narrow taxonomic perspective is harmful; the rigour of taxonomic decision- making clearly increases if insights from a variety of different complementary disciplines are combined and confronted. Taxonomy plays a critical role in the study of plant invasions and in turn benefits from the insights gained from these studies. © 2013 The Authors.","container-title":"AoB PLANTS","DOI":"10.1093/aobpla/plt042","ISSN":"2041-2851","journalAbbreviation":"AoB PLANTS","language":"en","page":"plt042","source":"DOI.org (Crossref)","title":"Hitting the right target: taxonomic challenges for, and of, plant invasions","title-short":"Hitting the right target","URL":"https://academic.oup.com/aobpla/article-lookup/doi/10.1093/aobpla/plt042","volume":"5","author":[{"family":"Pyšek","given":"Petr"},{"family":"Hulme","given":"P. E."},{"family":"Meyerson","given":"L. A."},{"family":"Smith","given":"G. F."},{"family":"Boatwright","given":"J. S."},{"family":"Crouch","given":"N. R."},{"family":"Figueiredo","given":"E."},{"family":"Foxcroft","given":"L. C."},{"family":"Jarošík","given":"V."},{"family":"Richardson","given":"D. M."},{"family":"Suda","given":"J."},{"family":"Wilson","given":"J. R. U."}],"accessed":{"date-parts":[["2021",6,16]]},"issued":{"date-parts":[["2013",11,13]]}},"label":"page"}],"schema":"https://github.com/citation-style-language/schema/raw/master/csl-citation.json"} </w:instrText>
            </w:r>
            <w:r w:rsidRPr="00837161">
              <w:fldChar w:fldCharType="separate"/>
            </w:r>
            <w:r w:rsidRPr="00271B78">
              <w:t xml:space="preserve">(Pyšek </w:t>
            </w:r>
            <w:r w:rsidRPr="00FE2C28">
              <w:rPr>
                <w:i/>
              </w:rPr>
              <w:t>et al</w:t>
            </w:r>
            <w:r w:rsidRPr="00271B78">
              <w:t>., 2013)</w:t>
            </w:r>
            <w:r w:rsidRPr="00837161">
              <w:fldChar w:fldCharType="end"/>
            </w:r>
            <w:r w:rsidRPr="00837161">
              <w:t xml:space="preserve"> and identification tools </w:t>
            </w:r>
            <w:r>
              <w:t>to assist in</w:t>
            </w:r>
            <w:r w:rsidRPr="00837161">
              <w:t xml:space="preserve"> correct </w:t>
            </w:r>
            <w:r>
              <w:t xml:space="preserve">species </w:t>
            </w:r>
            <w:r w:rsidRPr="00837161">
              <w:t xml:space="preserve">identification </w:t>
            </w:r>
            <w:r w:rsidRPr="00C0338D">
              <w:t>(</w:t>
            </w:r>
            <w:r w:rsidRPr="00FE2C28">
              <w:rPr>
                <w:b/>
              </w:rPr>
              <w:t>section 5.4; Chapter 6, section 6.6.2.2</w:t>
            </w:r>
            <w:r w:rsidRPr="00C0338D">
              <w:t>)</w:t>
            </w:r>
          </w:p>
        </w:tc>
      </w:tr>
      <w:tr w:rsidR="00DA0E0C" w:rsidTr="004F6786">
        <w:tc>
          <w:tcPr>
            <w:tcW w:w="1456" w:type="dxa"/>
            <w:shd w:val="clear" w:color="auto" w:fill="FFFFFF" w:themeFill="background1"/>
          </w:tcPr>
          <w:p w:rsidR="00DA0E0C" w:rsidRPr="00C0338D" w:rsidRDefault="00DA0E0C" w:rsidP="004F6786">
            <w:r w:rsidRPr="00C0338D">
              <w:lastRenderedPageBreak/>
              <w:t>Incomplete information/literature searches and species misidentification</w:t>
            </w:r>
          </w:p>
        </w:tc>
        <w:tc>
          <w:tcPr>
            <w:tcW w:w="2769" w:type="dxa"/>
            <w:shd w:val="clear" w:color="auto" w:fill="FFFFFF" w:themeFill="background1"/>
          </w:tcPr>
          <w:p w:rsidR="00DA0E0C" w:rsidRPr="00C0338D" w:rsidRDefault="00DA0E0C" w:rsidP="004F6786">
            <w:r w:rsidRPr="00C0338D">
              <w:t xml:space="preserve">Erroneous information in lists and databases may be perpetuated. </w:t>
            </w:r>
          </w:p>
          <w:p w:rsidR="00DA0E0C" w:rsidRPr="00C0338D" w:rsidRDefault="00DA0E0C" w:rsidP="004F6786"/>
        </w:tc>
        <w:tc>
          <w:tcPr>
            <w:tcW w:w="3210" w:type="dxa"/>
            <w:shd w:val="clear" w:color="auto" w:fill="FFFFFF" w:themeFill="background1"/>
          </w:tcPr>
          <w:p w:rsidR="00DA0E0C" w:rsidRPr="00C0338D" w:rsidRDefault="00DA0E0C" w:rsidP="004F6786">
            <w:r w:rsidRPr="00C0338D">
              <w:t>Misidentification of species, without recognizing synonyms, changing names and other errors in data entry.</w:t>
            </w:r>
          </w:p>
          <w:p w:rsidR="00DA0E0C" w:rsidRPr="00C0338D" w:rsidRDefault="00DA0E0C" w:rsidP="004F6786">
            <w:r w:rsidRPr="00C0338D">
              <w:t xml:space="preserve">Lack of comprehensive information searches can result in incomplete lists. </w:t>
            </w:r>
          </w:p>
          <w:p w:rsidR="00DA0E0C" w:rsidRPr="00C0338D" w:rsidRDefault="00DA0E0C" w:rsidP="004F6786">
            <w:r w:rsidRPr="00C0338D">
              <w:t xml:space="preserve">Alien species can be misidentified as a result of lack of taxonomic data, such as undescribed species or taxa where the systematics have not been fully resolved. </w:t>
            </w:r>
          </w:p>
        </w:tc>
        <w:tc>
          <w:tcPr>
            <w:tcW w:w="2041" w:type="dxa"/>
            <w:shd w:val="clear" w:color="auto" w:fill="FFFFFF" w:themeFill="background1"/>
          </w:tcPr>
          <w:p w:rsidR="00DA0E0C" w:rsidRPr="00C0338D" w:rsidRDefault="00DA0E0C" w:rsidP="005A46EC">
            <w:r w:rsidRPr="00C0338D">
              <w:t>Conscientious and thorough reviews and assessments before decision-making</w:t>
            </w:r>
            <w:r w:rsidR="005A46EC">
              <w:rPr>
                <w:rFonts w:eastAsia="游明朝"/>
                <w:lang w:eastAsia="ja-JP"/>
              </w:rPr>
              <w:t xml:space="preserve"> </w:t>
            </w:r>
            <w:r w:rsidRPr="00C0338D">
              <w:t>(</w:t>
            </w:r>
            <w:r w:rsidRPr="00FE2C28">
              <w:rPr>
                <w:b/>
              </w:rPr>
              <w:t>section 5.2; Chapter 6, section 6.6.1</w:t>
            </w:r>
            <w:r w:rsidRPr="00C0338D">
              <w:t>)</w:t>
            </w:r>
            <w:r w:rsidR="00FE2C28">
              <w:t>.</w:t>
            </w:r>
          </w:p>
        </w:tc>
      </w:tr>
      <w:tr w:rsidR="00DA0E0C" w:rsidTr="004F6786">
        <w:tc>
          <w:tcPr>
            <w:tcW w:w="1456" w:type="dxa"/>
            <w:shd w:val="clear" w:color="auto" w:fill="FFFFFF" w:themeFill="background1"/>
          </w:tcPr>
          <w:p w:rsidR="00DA0E0C" w:rsidRPr="00C0338D" w:rsidRDefault="00DA0E0C" w:rsidP="004F6786">
            <w:r w:rsidRPr="00C0338D">
              <w:t xml:space="preserve">Socio-economic and perception data </w:t>
            </w:r>
          </w:p>
        </w:tc>
        <w:tc>
          <w:tcPr>
            <w:tcW w:w="2769" w:type="dxa"/>
            <w:shd w:val="clear" w:color="auto" w:fill="FFFFFF" w:themeFill="background1"/>
          </w:tcPr>
          <w:p w:rsidR="00DA0E0C" w:rsidRPr="00C0338D" w:rsidRDefault="00DA0E0C" w:rsidP="004F6786">
            <w:r w:rsidRPr="00C0338D">
              <w:t xml:space="preserve">Differing perspectives leading to different perceptions in the community concerning management. E.g., hunters have a vested interest not to reduce density of an invasive </w:t>
            </w:r>
            <w:r w:rsidRPr="00C0338D">
              <w:lastRenderedPageBreak/>
              <w:t>alien species of their interest or completely eliminate the target species.</w:t>
            </w:r>
          </w:p>
        </w:tc>
        <w:tc>
          <w:tcPr>
            <w:tcW w:w="3210" w:type="dxa"/>
            <w:shd w:val="clear" w:color="auto" w:fill="FFFFFF" w:themeFill="background1"/>
          </w:tcPr>
          <w:p w:rsidR="00DA0E0C" w:rsidRPr="00C0338D" w:rsidRDefault="00DA0E0C" w:rsidP="004F6786">
            <w:r w:rsidRPr="00C0338D">
              <w:lastRenderedPageBreak/>
              <w:t>Difficulty to gain consistent perspectives on invasive alien species management directions and planning</w:t>
            </w:r>
            <w:r w:rsidR="00FE2C28">
              <w:t>.</w:t>
            </w:r>
          </w:p>
        </w:tc>
        <w:tc>
          <w:tcPr>
            <w:tcW w:w="2041" w:type="dxa"/>
            <w:shd w:val="clear" w:color="auto" w:fill="FFFFFF" w:themeFill="background1"/>
          </w:tcPr>
          <w:p w:rsidR="00DA0E0C" w:rsidRPr="00FE2C28" w:rsidRDefault="00DA0E0C" w:rsidP="005A46EC">
            <w:pPr>
              <w:rPr>
                <w:rFonts w:eastAsia="游明朝" w:hint="eastAsia"/>
                <w:lang w:eastAsia="ja-JP"/>
              </w:rPr>
            </w:pPr>
            <w:r w:rsidRPr="00C0338D">
              <w:t>Collaborative and adaptive co-management (</w:t>
            </w:r>
            <w:r w:rsidRPr="00FE2C28">
              <w:rPr>
                <w:b/>
              </w:rPr>
              <w:t>section 5.4; Chapter 1, section 1.5.2; Chapter 6, section 6.7.2.4</w:t>
            </w:r>
            <w:r w:rsidRPr="00C0338D">
              <w:t>)</w:t>
            </w:r>
            <w:r w:rsidR="00FE2C28">
              <w:rPr>
                <w:rFonts w:eastAsia="游明朝" w:hint="eastAsia"/>
                <w:lang w:eastAsia="ja-JP"/>
              </w:rPr>
              <w:t>.</w:t>
            </w:r>
          </w:p>
        </w:tc>
      </w:tr>
      <w:tr w:rsidR="00DA0E0C" w:rsidTr="004F6786">
        <w:tc>
          <w:tcPr>
            <w:tcW w:w="1456" w:type="dxa"/>
            <w:shd w:val="clear" w:color="auto" w:fill="FFFFFF" w:themeFill="background1"/>
          </w:tcPr>
          <w:p w:rsidR="00DA0E0C" w:rsidRPr="00C0338D" w:rsidRDefault="00DA0E0C" w:rsidP="004F6786">
            <w:r w:rsidRPr="00C0338D">
              <w:t>Political perspectives</w:t>
            </w:r>
          </w:p>
        </w:tc>
        <w:tc>
          <w:tcPr>
            <w:tcW w:w="2769" w:type="dxa"/>
            <w:shd w:val="clear" w:color="auto" w:fill="FFFFFF" w:themeFill="background1"/>
          </w:tcPr>
          <w:p w:rsidR="00DA0E0C" w:rsidRPr="00C0338D" w:rsidRDefault="00DA0E0C" w:rsidP="004F6786">
            <w:r w:rsidRPr="00C0338D">
              <w:t>Political will may vary with different political perspectives and situations.</w:t>
            </w:r>
          </w:p>
        </w:tc>
        <w:tc>
          <w:tcPr>
            <w:tcW w:w="3210" w:type="dxa"/>
            <w:shd w:val="clear" w:color="auto" w:fill="FFFFFF" w:themeFill="background1"/>
          </w:tcPr>
          <w:p w:rsidR="00DA0E0C" w:rsidRPr="00C0338D" w:rsidRDefault="00DA0E0C" w:rsidP="004F6786">
            <w:r>
              <w:t>Management of biological invasions</w:t>
            </w:r>
            <w:r w:rsidRPr="00C0338D">
              <w:t xml:space="preserve"> is not a priority item for some countries and may receive only limited/intermittent funding. </w:t>
            </w:r>
          </w:p>
          <w:p w:rsidR="00DA0E0C" w:rsidRPr="00C0338D" w:rsidRDefault="00DA0E0C" w:rsidP="004F6786">
            <w:r w:rsidRPr="00C0338D">
              <w:t xml:space="preserve">Jurisdictional boundaries complicate management responses </w:t>
            </w:r>
            <w:r w:rsidRPr="005A46EC">
              <w:t>(</w:t>
            </w:r>
            <w:r w:rsidRPr="00FE2C28">
              <w:rPr>
                <w:b/>
              </w:rPr>
              <w:t>section 5.5</w:t>
            </w:r>
            <w:r w:rsidRPr="00C0338D">
              <w:t>).</w:t>
            </w:r>
          </w:p>
        </w:tc>
        <w:tc>
          <w:tcPr>
            <w:tcW w:w="2041" w:type="dxa"/>
            <w:shd w:val="clear" w:color="auto" w:fill="FFFFFF" w:themeFill="background1"/>
          </w:tcPr>
          <w:p w:rsidR="00DA0E0C" w:rsidRPr="00C0338D" w:rsidRDefault="00DA0E0C" w:rsidP="004F6786">
            <w:r w:rsidRPr="00C0338D">
              <w:t>Globally, implementing treaties and conventions (</w:t>
            </w:r>
            <w:r w:rsidRPr="00FE2C28">
              <w:rPr>
                <w:b/>
              </w:rPr>
              <w:t>section 5.5; Chapter 6, section 6.1.3</w:t>
            </w:r>
            <w:r w:rsidRPr="00C0338D">
              <w:t xml:space="preserve">). </w:t>
            </w:r>
          </w:p>
          <w:p w:rsidR="00DA0E0C" w:rsidRPr="00C0338D" w:rsidRDefault="00DA0E0C" w:rsidP="004F6786">
            <w:r w:rsidRPr="00C0338D">
              <w:t xml:space="preserve">Locally, initiatives such as Trans-frontier protected areas or biospheres reserves provide vehicles for collaboration </w:t>
            </w:r>
          </w:p>
          <w:p w:rsidR="00DA0E0C" w:rsidRPr="00C0338D" w:rsidRDefault="00DA0E0C" w:rsidP="004F6786">
            <w:r w:rsidRPr="00C0338D">
              <w:t>(</w:t>
            </w:r>
            <w:r w:rsidRPr="00AC4807">
              <w:rPr>
                <w:b/>
              </w:rPr>
              <w:t>section 5.3; Chapter 6, section 6.3</w:t>
            </w:r>
            <w:r w:rsidRPr="00C0338D">
              <w:t>).</w:t>
            </w:r>
            <w:bookmarkStart w:id="2" w:name="_GoBack"/>
            <w:bookmarkEnd w:id="2"/>
          </w:p>
        </w:tc>
      </w:tr>
    </w:tbl>
    <w:p w:rsidR="00C8681F" w:rsidRPr="00DA0E0C" w:rsidRDefault="00AC4807" w:rsidP="00DA0E0C"/>
    <w:sectPr w:rsidR="00C8681F" w:rsidRPr="00DA0E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2BF"/>
    <w:rsid w:val="005606C8"/>
    <w:rsid w:val="005A46EC"/>
    <w:rsid w:val="00700ED4"/>
    <w:rsid w:val="007B6053"/>
    <w:rsid w:val="00AC4807"/>
    <w:rsid w:val="00C732BF"/>
    <w:rsid w:val="00CC38D3"/>
    <w:rsid w:val="00DA0E0C"/>
    <w:rsid w:val="00F171DB"/>
    <w:rsid w:val="00FE2C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E8666A"/>
  <w15:chartTrackingRefBased/>
  <w15:docId w15:val="{8AB64BEB-AD84-4D72-9451-22A60684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2BF"/>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1521</Words>
  <Characters>8674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5</cp:revision>
  <dcterms:created xsi:type="dcterms:W3CDTF">2023-06-15T02:57:00Z</dcterms:created>
  <dcterms:modified xsi:type="dcterms:W3CDTF">2024-02-05T01:11:00Z</dcterms:modified>
</cp:coreProperties>
</file>